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1D" w:rsidRDefault="00A8371D" w:rsidP="00BA6F1C">
      <w:pPr>
        <w:jc w:val="right"/>
        <w:rPr>
          <w:b/>
          <w:sz w:val="28"/>
        </w:rPr>
      </w:pPr>
      <w:r w:rsidRPr="00C00132">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vimat " style="width:60.75pt;height:60.75pt">
            <v:imagedata r:id="rId5" o:title=""/>
          </v:shape>
        </w:pict>
      </w:r>
    </w:p>
    <w:p w:rsidR="00A8371D" w:rsidRPr="00695A47" w:rsidRDefault="00A8371D" w:rsidP="00DA620B">
      <w:pPr>
        <w:jc w:val="center"/>
        <w:outlineLvl w:val="0"/>
        <w:rPr>
          <w:b/>
          <w:sz w:val="28"/>
        </w:rPr>
      </w:pPr>
      <w:r w:rsidRPr="00695A47">
        <w:rPr>
          <w:b/>
          <w:sz w:val="28"/>
        </w:rPr>
        <w:t>Formación de profesores y monitores</w:t>
      </w:r>
    </w:p>
    <w:p w:rsidR="00A8371D" w:rsidRPr="00695A47" w:rsidRDefault="00A8371D" w:rsidP="00A63DC8">
      <w:pPr>
        <w:jc w:val="center"/>
        <w:rPr>
          <w:b/>
          <w:sz w:val="28"/>
        </w:rPr>
      </w:pPr>
    </w:p>
    <w:p w:rsidR="00A8371D" w:rsidRPr="00695A47" w:rsidRDefault="00A8371D" w:rsidP="00DA620B">
      <w:pPr>
        <w:jc w:val="center"/>
        <w:outlineLvl w:val="0"/>
        <w:rPr>
          <w:b/>
          <w:u w:val="single"/>
        </w:rPr>
      </w:pPr>
      <w:r w:rsidRPr="00695A47">
        <w:rPr>
          <w:b/>
          <w:u w:val="single"/>
        </w:rPr>
        <w:t>Iniciación en el manejo del editor Lambda</w:t>
      </w:r>
    </w:p>
    <w:p w:rsidR="00A8371D" w:rsidRPr="00A63DC8" w:rsidRDefault="00A8371D" w:rsidP="00A63DC8">
      <w:pPr>
        <w:jc w:val="center"/>
        <w:rPr>
          <w:sz w:val="22"/>
        </w:rPr>
      </w:pPr>
    </w:p>
    <w:p w:rsidR="00A8371D" w:rsidRPr="00A63DC8" w:rsidRDefault="00A8371D" w:rsidP="00DA620B">
      <w:pPr>
        <w:jc w:val="center"/>
        <w:outlineLvl w:val="0"/>
        <w:rPr>
          <w:b/>
          <w:sz w:val="28"/>
        </w:rPr>
      </w:pPr>
      <w:r>
        <w:rPr>
          <w:b/>
          <w:sz w:val="28"/>
        </w:rPr>
        <w:t>LA CALCULADORA DE LAMBDA</w:t>
      </w:r>
    </w:p>
    <w:p w:rsidR="00A8371D" w:rsidRPr="00257B18" w:rsidRDefault="00A8371D" w:rsidP="00A63DC8">
      <w:pPr>
        <w:jc w:val="both"/>
        <w:rPr>
          <w:sz w:val="28"/>
        </w:rPr>
      </w:pPr>
    </w:p>
    <w:p w:rsidR="00A8371D" w:rsidRPr="002D2E34" w:rsidRDefault="00A8371D" w:rsidP="00A63DC8">
      <w:pPr>
        <w:jc w:val="both"/>
      </w:pPr>
      <w:r w:rsidRPr="002D2E34">
        <w:rPr>
          <w:rFonts w:cs="Arial"/>
        </w:rPr>
        <w:t xml:space="preserve">LAMBDA tiene adjunta una calculadora científica, diseñada para ser empleada </w:t>
      </w:r>
      <w:r>
        <w:rPr>
          <w:rFonts w:cs="Arial"/>
        </w:rPr>
        <w:t xml:space="preserve">de forma accesible </w:t>
      </w:r>
      <w:r w:rsidRPr="002D2E34">
        <w:rPr>
          <w:rFonts w:cs="Arial"/>
        </w:rPr>
        <w:t>con los periféricos braille y de síntesis de voz.</w:t>
      </w:r>
    </w:p>
    <w:p w:rsidR="00A8371D" w:rsidRDefault="00A8371D" w:rsidP="00A63DC8">
      <w:pPr>
        <w:jc w:val="both"/>
        <w:rPr>
          <w:rFonts w:cs="Arial"/>
        </w:rPr>
      </w:pPr>
      <w:r w:rsidRPr="002D2E34">
        <w:rPr>
          <w:rFonts w:cs="Arial"/>
        </w:rPr>
        <w:t>Se puede utilizar de dos formas diferentes:</w:t>
      </w:r>
    </w:p>
    <w:p w:rsidR="00A8371D" w:rsidRDefault="00A8371D" w:rsidP="00A63DC8">
      <w:pPr>
        <w:numPr>
          <w:ilvl w:val="0"/>
          <w:numId w:val="7"/>
        </w:numPr>
        <w:jc w:val="both"/>
      </w:pPr>
      <w:r>
        <w:rPr>
          <w:rFonts w:cs="Arial"/>
        </w:rPr>
        <w:t xml:space="preserve">como herramienta </w:t>
      </w:r>
      <w:r w:rsidRPr="002D2E34">
        <w:rPr>
          <w:rFonts w:cs="Arial"/>
        </w:rPr>
        <w:t>autónoma</w:t>
      </w:r>
      <w:r>
        <w:rPr>
          <w:rFonts w:cs="Arial"/>
        </w:rPr>
        <w:t>,</w:t>
      </w:r>
      <w:r w:rsidRPr="002D2E34">
        <w:rPr>
          <w:rFonts w:cs="Arial"/>
        </w:rPr>
        <w:t xml:space="preserve"> en una </w:t>
      </w:r>
      <w:hyperlink r:id="rId6" w:history="1">
        <w:r w:rsidRPr="002D2E34">
          <w:rPr>
            <w:rStyle w:val="Hyperlink"/>
            <w:rFonts w:cs="Arial"/>
            <w:color w:val="auto"/>
          </w:rPr>
          <w:t xml:space="preserve">ventana </w:t>
        </w:r>
      </w:hyperlink>
      <w:r>
        <w:t>independiente; o</w:t>
      </w:r>
    </w:p>
    <w:p w:rsidR="00A8371D" w:rsidRPr="002D2E34" w:rsidRDefault="00A8371D" w:rsidP="00A63DC8">
      <w:pPr>
        <w:numPr>
          <w:ilvl w:val="0"/>
          <w:numId w:val="7"/>
        </w:numPr>
        <w:jc w:val="both"/>
      </w:pPr>
      <w:r w:rsidRPr="002D2E34">
        <w:rPr>
          <w:rFonts w:cs="Arial"/>
        </w:rPr>
        <w:t xml:space="preserve">como una </w:t>
      </w:r>
      <w:hyperlink r:id="rId7" w:history="1">
        <w:r w:rsidRPr="00ED2A13">
          <w:rPr>
            <w:rStyle w:val="Hyperlink"/>
            <w:rFonts w:cs="Arial"/>
            <w:i/>
            <w:color w:val="auto"/>
          </w:rPr>
          <w:t>herramienta ligada al editor</w:t>
        </w:r>
      </w:hyperlink>
      <w:r>
        <w:rPr>
          <w:rFonts w:cs="Arial"/>
        </w:rPr>
        <w:t>.</w:t>
      </w:r>
    </w:p>
    <w:p w:rsidR="00A8371D" w:rsidRPr="002D2E34" w:rsidRDefault="00A8371D" w:rsidP="00A63DC8">
      <w:pPr>
        <w:pStyle w:val="NormalWeb"/>
        <w:spacing w:before="0" w:beforeAutospacing="0" w:after="60" w:afterAutospacing="0"/>
        <w:ind w:left="340"/>
        <w:jc w:val="both"/>
        <w:rPr>
          <w:rFonts w:ascii="Verdana" w:hAnsi="Verdana"/>
        </w:rPr>
      </w:pPr>
    </w:p>
    <w:p w:rsidR="00A8371D" w:rsidRPr="00ED2A13" w:rsidRDefault="00A8371D" w:rsidP="00A63DC8">
      <w:pPr>
        <w:numPr>
          <w:ilvl w:val="0"/>
          <w:numId w:val="3"/>
        </w:numPr>
        <w:jc w:val="both"/>
        <w:rPr>
          <w:b/>
        </w:rPr>
      </w:pPr>
      <w:r w:rsidRPr="00ED2A13">
        <w:rPr>
          <w:rFonts w:cs="Arial"/>
          <w:b/>
          <w:szCs w:val="28"/>
        </w:rPr>
        <w:t>Ventana de calculadora</w:t>
      </w:r>
    </w:p>
    <w:p w:rsidR="00A8371D" w:rsidRDefault="00A8371D" w:rsidP="00A63DC8">
      <w:pPr>
        <w:jc w:val="both"/>
      </w:pPr>
    </w:p>
    <w:p w:rsidR="00A8371D" w:rsidRDefault="00A8371D" w:rsidP="00DA620B">
      <w:pPr>
        <w:jc w:val="both"/>
        <w:outlineLvl w:val="0"/>
      </w:pPr>
      <w:r>
        <w:t>Al pulsar en la “Barra de menú” el comando</w:t>
      </w:r>
    </w:p>
    <w:p w:rsidR="00A8371D" w:rsidRPr="00ED2A13" w:rsidRDefault="00A8371D" w:rsidP="00DA620B">
      <w:pPr>
        <w:jc w:val="both"/>
        <w:outlineLvl w:val="0"/>
        <w:rPr>
          <w:b/>
        </w:rPr>
      </w:pPr>
      <w:r w:rsidRPr="00ED2A13">
        <w:rPr>
          <w:b/>
        </w:rPr>
        <w:t>“Herramientas / Ventana de calculadora”</w:t>
      </w:r>
    </w:p>
    <w:p w:rsidR="00A8371D" w:rsidRDefault="00A8371D" w:rsidP="00A63DC8">
      <w:pPr>
        <w:jc w:val="both"/>
      </w:pPr>
      <w:r>
        <w:t>(</w:t>
      </w:r>
      <w:r w:rsidRPr="00ED2A13">
        <w:rPr>
          <w:b/>
        </w:rPr>
        <w:t>ALT+F9</w:t>
      </w:r>
      <w:r>
        <w:t xml:space="preserve">, en el “Parche </w:t>
      </w:r>
      <w:smartTag w:uri="urn:schemas-microsoft-com:office:smarttags" w:element="metricconverter">
        <w:smartTagPr>
          <w:attr w:name="ProductID" w:val="2015 A"/>
        </w:smartTagPr>
        <w:r>
          <w:t>2015 A</w:t>
        </w:r>
      </w:smartTag>
      <w:r>
        <w:t>”) se abre efectivamente una ventana independiente, con los campos:</w:t>
      </w:r>
    </w:p>
    <w:p w:rsidR="00A8371D" w:rsidRDefault="00A8371D" w:rsidP="00A63DC8">
      <w:pPr>
        <w:jc w:val="both"/>
      </w:pPr>
    </w:p>
    <w:p w:rsidR="00A8371D" w:rsidRDefault="00A8371D" w:rsidP="00A63DC8">
      <w:pPr>
        <w:numPr>
          <w:ilvl w:val="0"/>
          <w:numId w:val="4"/>
        </w:numPr>
        <w:jc w:val="both"/>
      </w:pPr>
      <w:r w:rsidRPr="00ED2A13">
        <w:rPr>
          <w:b/>
        </w:rPr>
        <w:t>Edición</w:t>
      </w:r>
      <w:r>
        <w:t xml:space="preserve"> (para editar la expresión a calcular)</w:t>
      </w:r>
    </w:p>
    <w:p w:rsidR="00A8371D" w:rsidRDefault="00A8371D" w:rsidP="00A63DC8">
      <w:pPr>
        <w:numPr>
          <w:ilvl w:val="0"/>
          <w:numId w:val="4"/>
        </w:numPr>
        <w:jc w:val="both"/>
      </w:pPr>
      <w:r w:rsidRPr="00ED2A13">
        <w:rPr>
          <w:b/>
        </w:rPr>
        <w:t>Ángulos</w:t>
      </w:r>
      <w:r>
        <w:t xml:space="preserve"> (para seleccionar unidades de medida de ángulos)</w:t>
      </w:r>
    </w:p>
    <w:p w:rsidR="00A8371D" w:rsidRDefault="00A8371D" w:rsidP="00A63DC8">
      <w:pPr>
        <w:numPr>
          <w:ilvl w:val="0"/>
          <w:numId w:val="4"/>
        </w:numPr>
        <w:jc w:val="both"/>
      </w:pPr>
      <w:r w:rsidRPr="00ED2A13">
        <w:rPr>
          <w:b/>
        </w:rPr>
        <w:t>Número de decimales</w:t>
      </w:r>
      <w:r>
        <w:t xml:space="preserve"> (para seleccionar la aproximación)</w:t>
      </w:r>
    </w:p>
    <w:p w:rsidR="00A8371D" w:rsidRDefault="00A8371D" w:rsidP="00A63DC8">
      <w:pPr>
        <w:numPr>
          <w:ilvl w:val="0"/>
          <w:numId w:val="4"/>
        </w:numPr>
        <w:jc w:val="both"/>
      </w:pPr>
      <w:r w:rsidRPr="00ED2A13">
        <w:rPr>
          <w:b/>
        </w:rPr>
        <w:t>Calcular</w:t>
      </w:r>
      <w:r>
        <w:t xml:space="preserve"> (ejecutar el cálculo)</w:t>
      </w:r>
    </w:p>
    <w:p w:rsidR="00A8371D" w:rsidRPr="00ED2A13" w:rsidRDefault="00A8371D" w:rsidP="00A63DC8">
      <w:pPr>
        <w:numPr>
          <w:ilvl w:val="0"/>
          <w:numId w:val="4"/>
        </w:numPr>
        <w:jc w:val="both"/>
        <w:rPr>
          <w:b/>
        </w:rPr>
      </w:pPr>
      <w:r w:rsidRPr="00ED2A13">
        <w:rPr>
          <w:b/>
        </w:rPr>
        <w:t>Cerrar</w:t>
      </w:r>
    </w:p>
    <w:p w:rsidR="00A8371D" w:rsidRDefault="00A8371D" w:rsidP="00A63DC8">
      <w:pPr>
        <w:jc w:val="both"/>
      </w:pPr>
    </w:p>
    <w:p w:rsidR="00A8371D" w:rsidRDefault="00A8371D" w:rsidP="00A63DC8">
      <w:pPr>
        <w:jc w:val="both"/>
      </w:pPr>
      <w:r>
        <w:t>En el menú “Operaciones” de la “Barra de menú” se encuentra una lista de funciones a aplicar sobre el valor o resultado introducido en la caja “Edición”.</w:t>
      </w:r>
    </w:p>
    <w:p w:rsidR="00A8371D" w:rsidRDefault="00A8371D" w:rsidP="00A63DC8">
      <w:pPr>
        <w:jc w:val="both"/>
      </w:pPr>
    </w:p>
    <w:p w:rsidR="00A8371D" w:rsidRDefault="00A8371D" w:rsidP="00A63DC8">
      <w:pPr>
        <w:jc w:val="both"/>
      </w:pPr>
      <w:r>
        <w:t xml:space="preserve">La ventana se cierra con </w:t>
      </w:r>
      <w:r w:rsidRPr="00ED2A13">
        <w:rPr>
          <w:b/>
        </w:rPr>
        <w:t>ESCAPE</w:t>
      </w:r>
      <w:r>
        <w:t xml:space="preserve">, </w:t>
      </w:r>
      <w:r w:rsidRPr="00ED2A13">
        <w:rPr>
          <w:b/>
        </w:rPr>
        <w:t>ALT+F4</w:t>
      </w:r>
      <w:r>
        <w:t xml:space="preserve"> o pulsando el botón “</w:t>
      </w:r>
      <w:r w:rsidRPr="00ED2A13">
        <w:rPr>
          <w:b/>
        </w:rPr>
        <w:t>Cerrar</w:t>
      </w:r>
      <w:r>
        <w:t>”.</w:t>
      </w:r>
    </w:p>
    <w:p w:rsidR="00A8371D" w:rsidRDefault="00A8371D" w:rsidP="00A63DC8">
      <w:pPr>
        <w:jc w:val="both"/>
      </w:pPr>
    </w:p>
    <w:p w:rsidR="00A8371D" w:rsidRPr="00ED2A13" w:rsidRDefault="00A8371D" w:rsidP="00A63DC8">
      <w:pPr>
        <w:numPr>
          <w:ilvl w:val="0"/>
          <w:numId w:val="3"/>
        </w:numPr>
        <w:jc w:val="both"/>
        <w:rPr>
          <w:b/>
        </w:rPr>
      </w:pPr>
      <w:r w:rsidRPr="00ED2A13">
        <w:rPr>
          <w:b/>
        </w:rPr>
        <w:t>Realización de cálculos</w:t>
      </w:r>
    </w:p>
    <w:p w:rsidR="00A8371D" w:rsidRDefault="00A8371D" w:rsidP="00A63DC8">
      <w:pPr>
        <w:jc w:val="both"/>
      </w:pPr>
    </w:p>
    <w:p w:rsidR="00A8371D" w:rsidRDefault="00A8371D" w:rsidP="00A63DC8">
      <w:pPr>
        <w:jc w:val="both"/>
        <w:rPr>
          <w:rFonts w:cs="Arial"/>
        </w:rPr>
      </w:pPr>
      <w:r w:rsidRPr="002D2E34">
        <w:rPr>
          <w:rFonts w:cs="Arial"/>
        </w:rPr>
        <w:t>Las posibilidades son sensiblemente reducidas respecto del editor LAMBDA, y debe ser utilizada para los cálculos simples, fundamentalmente por medio de comandos del teclado</w:t>
      </w:r>
      <w:r>
        <w:rPr>
          <w:rFonts w:cs="Arial"/>
        </w:rPr>
        <w:t xml:space="preserve"> numérico</w:t>
      </w:r>
      <w:r w:rsidRPr="002D2E34">
        <w:rPr>
          <w:rFonts w:cs="Arial"/>
        </w:rPr>
        <w:t>.</w:t>
      </w:r>
    </w:p>
    <w:p w:rsidR="00A8371D" w:rsidRDefault="00A8371D" w:rsidP="00A63DC8">
      <w:pPr>
        <w:jc w:val="both"/>
        <w:rPr>
          <w:rFonts w:cs="Arial"/>
        </w:rPr>
      </w:pPr>
      <w:r>
        <w:rPr>
          <w:rFonts w:cs="Arial"/>
        </w:rPr>
        <w:t>Además, como se indica más abajo, tanto en la edición como en las funciones disponibles hay diferencias con la sintaxis del “cuadro de edición de Lambda”. Por lo que, cuando se está habituado a la edición de expresiones en el editor, resulta mucho más sencillo realizar los cálculos con la “Calculadora ligada al editor”. No obstante, he aquí una descripción de su funcionamiento.</w:t>
      </w:r>
    </w:p>
    <w:p w:rsidR="00A8371D" w:rsidRPr="002D2E34" w:rsidRDefault="00A8371D" w:rsidP="00A63DC8">
      <w:pPr>
        <w:jc w:val="both"/>
      </w:pPr>
    </w:p>
    <w:p w:rsidR="00A8371D" w:rsidRDefault="00A8371D" w:rsidP="00A63DC8">
      <w:pPr>
        <w:jc w:val="both"/>
        <w:rPr>
          <w:rFonts w:cs="Arial"/>
        </w:rPr>
      </w:pPr>
      <w:r>
        <w:rPr>
          <w:rFonts w:cs="Arial"/>
        </w:rPr>
        <w:t>L</w:t>
      </w:r>
      <w:r w:rsidRPr="002D2E34">
        <w:rPr>
          <w:rFonts w:cs="Arial"/>
        </w:rPr>
        <w:t>as expresiones s</w:t>
      </w:r>
      <w:r>
        <w:rPr>
          <w:rFonts w:cs="Arial"/>
        </w:rPr>
        <w:t>e introducen</w:t>
      </w:r>
      <w:r w:rsidRPr="002D2E34">
        <w:rPr>
          <w:rFonts w:cs="Arial"/>
        </w:rPr>
        <w:t xml:space="preserve"> en la caja de </w:t>
      </w:r>
      <w:r>
        <w:rPr>
          <w:rFonts w:cs="Arial"/>
        </w:rPr>
        <w:t xml:space="preserve">edición </w:t>
      </w:r>
      <w:r w:rsidRPr="002D2E34">
        <w:rPr>
          <w:rFonts w:cs="Arial"/>
        </w:rPr>
        <w:t>para su cálculo</w:t>
      </w:r>
      <w:r>
        <w:rPr>
          <w:rFonts w:cs="Arial"/>
        </w:rPr>
        <w:t>, o como argumento al que aplicar la operación que se seleccione a continuación</w:t>
      </w:r>
      <w:r w:rsidRPr="002D2E34">
        <w:rPr>
          <w:rFonts w:cs="Arial"/>
        </w:rPr>
        <w:t>.</w:t>
      </w:r>
    </w:p>
    <w:p w:rsidR="00A8371D" w:rsidRDefault="00A8371D" w:rsidP="00A63DC8">
      <w:pPr>
        <w:jc w:val="both"/>
        <w:rPr>
          <w:rFonts w:cs="Arial"/>
        </w:rPr>
      </w:pPr>
      <w:r w:rsidRPr="002D2E34">
        <w:rPr>
          <w:rFonts w:cs="Arial"/>
        </w:rPr>
        <w:t>Además de las cifras y de las cuatro operaciones (+,-,*,/) se aceptan</w:t>
      </w:r>
      <w:r>
        <w:rPr>
          <w:rFonts w:cs="Arial"/>
        </w:rPr>
        <w:t>:</w:t>
      </w:r>
    </w:p>
    <w:p w:rsidR="00A8371D" w:rsidRPr="00473E7A" w:rsidRDefault="00A8371D" w:rsidP="00A63DC8">
      <w:pPr>
        <w:numPr>
          <w:ilvl w:val="0"/>
          <w:numId w:val="6"/>
        </w:numPr>
        <w:jc w:val="both"/>
      </w:pPr>
      <w:r w:rsidRPr="002D2E34">
        <w:rPr>
          <w:rFonts w:cs="Arial"/>
        </w:rPr>
        <w:t xml:space="preserve">paréntesis </w:t>
      </w:r>
      <w:r>
        <w:rPr>
          <w:rFonts w:cs="Arial"/>
        </w:rPr>
        <w:t>( ), anidados en no importa qué número. (Sin embargo: no edita “corchetes” ni “llaves”.)</w:t>
      </w:r>
    </w:p>
    <w:p w:rsidR="00A8371D" w:rsidRPr="00473E7A" w:rsidRDefault="00A8371D" w:rsidP="00A63DC8">
      <w:pPr>
        <w:numPr>
          <w:ilvl w:val="0"/>
          <w:numId w:val="6"/>
        </w:numPr>
        <w:jc w:val="both"/>
      </w:pPr>
      <w:r w:rsidRPr="002D2E34">
        <w:rPr>
          <w:rFonts w:cs="Arial"/>
        </w:rPr>
        <w:t>potencias</w:t>
      </w:r>
      <w:r>
        <w:rPr>
          <w:rFonts w:cs="Arial"/>
        </w:rPr>
        <w:t xml:space="preserve"> ^</w:t>
      </w:r>
    </w:p>
    <w:p w:rsidR="00A8371D" w:rsidRDefault="00A8371D" w:rsidP="00A63DC8">
      <w:pPr>
        <w:numPr>
          <w:ilvl w:val="0"/>
          <w:numId w:val="6"/>
        </w:numPr>
        <w:jc w:val="both"/>
      </w:pPr>
      <w:r>
        <w:t>el número e (letra “e minúscula”)</w:t>
      </w:r>
    </w:p>
    <w:p w:rsidR="00A8371D" w:rsidRDefault="00A8371D" w:rsidP="00A63DC8">
      <w:pPr>
        <w:numPr>
          <w:ilvl w:val="0"/>
          <w:numId w:val="6"/>
        </w:numPr>
        <w:jc w:val="both"/>
      </w:pPr>
      <w:r>
        <w:t>el número pi, editado como ‘p (apóstrofo, p minúscula)</w:t>
      </w:r>
    </w:p>
    <w:p w:rsidR="00A8371D" w:rsidRDefault="00A8371D" w:rsidP="00A63DC8">
      <w:pPr>
        <w:jc w:val="both"/>
      </w:pPr>
    </w:p>
    <w:p w:rsidR="00A8371D" w:rsidRDefault="00A8371D" w:rsidP="00A63DC8">
      <w:pPr>
        <w:jc w:val="both"/>
      </w:pPr>
      <w:r>
        <w:t>Teniendo en cuenta:</w:t>
      </w:r>
    </w:p>
    <w:p w:rsidR="00A8371D" w:rsidRDefault="00A8371D" w:rsidP="00A63DC8">
      <w:pPr>
        <w:numPr>
          <w:ilvl w:val="0"/>
          <w:numId w:val="6"/>
        </w:numPr>
        <w:jc w:val="both"/>
      </w:pPr>
      <w:r>
        <w:t>Como signo separador de parte entera y decimal (“coma decimal”) debe emplearse el “punto”; ya sea del teclado numérico o del QWERTY.</w:t>
      </w:r>
    </w:p>
    <w:p w:rsidR="00A8371D" w:rsidRPr="002D2E34" w:rsidRDefault="00A8371D" w:rsidP="00A63DC8">
      <w:pPr>
        <w:numPr>
          <w:ilvl w:val="0"/>
          <w:numId w:val="6"/>
        </w:numPr>
        <w:jc w:val="both"/>
      </w:pPr>
      <w:r>
        <w:t>Se admiten espacios en blanco; incluso entre cifras de una cantidad</w:t>
      </w:r>
    </w:p>
    <w:p w:rsidR="00A8371D" w:rsidRDefault="00A8371D" w:rsidP="00A63DC8">
      <w:pPr>
        <w:jc w:val="both"/>
        <w:rPr>
          <w:rFonts w:cs="Arial"/>
        </w:rPr>
      </w:pPr>
    </w:p>
    <w:p w:rsidR="00A8371D" w:rsidRPr="002D2E34" w:rsidRDefault="00A8371D" w:rsidP="00A63DC8">
      <w:pPr>
        <w:jc w:val="both"/>
      </w:pPr>
      <w:r w:rsidRPr="002D2E34">
        <w:rPr>
          <w:rFonts w:cs="Arial"/>
        </w:rPr>
        <w:t xml:space="preserve">Se pueden efectuar cálculos más avanzados a través del menú de </w:t>
      </w:r>
      <w:r>
        <w:rPr>
          <w:rFonts w:cs="Arial"/>
        </w:rPr>
        <w:t>“O</w:t>
      </w:r>
      <w:r w:rsidRPr="002D2E34">
        <w:rPr>
          <w:rFonts w:cs="Arial"/>
        </w:rPr>
        <w:t>peraciones</w:t>
      </w:r>
      <w:r>
        <w:rPr>
          <w:rFonts w:cs="Arial"/>
        </w:rPr>
        <w:t>”</w:t>
      </w:r>
      <w:r w:rsidRPr="002D2E34">
        <w:rPr>
          <w:rFonts w:cs="Arial"/>
        </w:rPr>
        <w:t>: raí</w:t>
      </w:r>
      <w:r>
        <w:rPr>
          <w:rFonts w:cs="Arial"/>
        </w:rPr>
        <w:t>z cuadrada y cúbica</w:t>
      </w:r>
      <w:r w:rsidRPr="002D2E34">
        <w:rPr>
          <w:rFonts w:cs="Arial"/>
        </w:rPr>
        <w:t>, logaritmos</w:t>
      </w:r>
      <w:r>
        <w:rPr>
          <w:rFonts w:cs="Arial"/>
        </w:rPr>
        <w:t xml:space="preserve"> decimal y neperiano</w:t>
      </w:r>
      <w:r w:rsidRPr="002D2E34">
        <w:rPr>
          <w:rFonts w:cs="Arial"/>
        </w:rPr>
        <w:t xml:space="preserve">, </w:t>
      </w:r>
      <w:r>
        <w:rPr>
          <w:rFonts w:cs="Arial"/>
        </w:rPr>
        <w:t xml:space="preserve">las </w:t>
      </w:r>
      <w:r w:rsidRPr="002D2E34">
        <w:rPr>
          <w:rFonts w:cs="Arial"/>
        </w:rPr>
        <w:t xml:space="preserve">funciones trigonométricas </w:t>
      </w:r>
      <w:r>
        <w:rPr>
          <w:rFonts w:cs="Arial"/>
        </w:rPr>
        <w:t>seno, coseno y tangente, y sus inversas, inverso y contrario, exponencial.</w:t>
      </w:r>
    </w:p>
    <w:p w:rsidR="00A8371D" w:rsidRDefault="00A8371D" w:rsidP="00A63DC8">
      <w:pPr>
        <w:jc w:val="both"/>
      </w:pPr>
    </w:p>
    <w:p w:rsidR="00A8371D" w:rsidRPr="002D2E34" w:rsidRDefault="00A8371D" w:rsidP="00A63DC8">
      <w:pPr>
        <w:jc w:val="both"/>
      </w:pPr>
      <w:r>
        <w:t>Algunas de estas funciones pueden también aplicarse directamente, mediante los comandos de la tabla siguiente:</w:t>
      </w:r>
    </w:p>
    <w:p w:rsidR="00A8371D" w:rsidRPr="002D2E34" w:rsidRDefault="00A8371D" w:rsidP="00A63DC8">
      <w:pPr>
        <w:jc w:val="both"/>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3"/>
        <w:gridCol w:w="1840"/>
      </w:tblGrid>
      <w:tr w:rsidR="00A8371D" w:rsidRPr="002D2E34" w:rsidTr="00DF7D44">
        <w:tc>
          <w:tcPr>
            <w:tcW w:w="0" w:type="auto"/>
            <w:gridSpan w:val="2"/>
          </w:tcPr>
          <w:p w:rsidR="00A8371D" w:rsidRPr="002D2E34" w:rsidRDefault="00A8371D" w:rsidP="00A63DC8">
            <w:pPr>
              <w:jc w:val="both"/>
            </w:pPr>
            <w:r w:rsidRPr="00DF7D44">
              <w:rPr>
                <w:rFonts w:cs="Arial"/>
                <w:bCs/>
              </w:rPr>
              <w:t>Comandos de la calculadora en la ventana de calculadora (calculadora abierta)</w:t>
            </w:r>
          </w:p>
        </w:tc>
      </w:tr>
      <w:tr w:rsidR="00A8371D" w:rsidRPr="002D2E34" w:rsidTr="00DF7D44">
        <w:tc>
          <w:tcPr>
            <w:tcW w:w="0" w:type="auto"/>
          </w:tcPr>
          <w:p w:rsidR="00A8371D" w:rsidRPr="00DF7D44" w:rsidRDefault="00A8371D" w:rsidP="00A63DC8">
            <w:pPr>
              <w:jc w:val="both"/>
              <w:rPr>
                <w:rFonts w:cs="Arial"/>
                <w:bCs/>
              </w:rPr>
            </w:pPr>
            <w:r w:rsidRPr="00DF7D44">
              <w:rPr>
                <w:rFonts w:cs="Arial"/>
                <w:bCs/>
              </w:rPr>
              <w:t>Ejecutar cálculo</w:t>
            </w:r>
          </w:p>
        </w:tc>
        <w:tc>
          <w:tcPr>
            <w:tcW w:w="0" w:type="auto"/>
          </w:tcPr>
          <w:p w:rsidR="00A8371D" w:rsidRPr="00ED2A13" w:rsidRDefault="00A8371D" w:rsidP="00A63DC8">
            <w:pPr>
              <w:jc w:val="both"/>
              <w:rPr>
                <w:rFonts w:cs="Arial"/>
                <w:b/>
                <w:iCs/>
              </w:rPr>
            </w:pPr>
            <w:r w:rsidRPr="00ED2A13">
              <w:rPr>
                <w:rFonts w:cs="Arial"/>
                <w:b/>
                <w:iCs/>
              </w:rPr>
              <w:t>Enter</w:t>
            </w:r>
          </w:p>
        </w:tc>
      </w:tr>
      <w:tr w:rsidR="00A8371D" w:rsidRPr="002D2E34" w:rsidTr="00DF7D44">
        <w:tc>
          <w:tcPr>
            <w:tcW w:w="0" w:type="auto"/>
          </w:tcPr>
          <w:p w:rsidR="00A8371D" w:rsidRPr="002D2E34" w:rsidRDefault="00A8371D" w:rsidP="00A63DC8">
            <w:pPr>
              <w:jc w:val="both"/>
            </w:pPr>
            <w:r w:rsidRPr="00DF7D44">
              <w:rPr>
                <w:rFonts w:cs="Arial"/>
                <w:bCs/>
              </w:rPr>
              <w:t xml:space="preserve">Cerrar calculadora </w:t>
            </w:r>
            <w:r w:rsidRPr="00DF7D44">
              <w:rPr>
                <w:rFonts w:cs="Arial"/>
              </w:rPr>
              <w:t>y volver al editor.</w:t>
            </w:r>
          </w:p>
        </w:tc>
        <w:tc>
          <w:tcPr>
            <w:tcW w:w="0" w:type="auto"/>
          </w:tcPr>
          <w:p w:rsidR="00A8371D" w:rsidRPr="00ED2A13" w:rsidRDefault="00A8371D" w:rsidP="00A63DC8">
            <w:pPr>
              <w:jc w:val="both"/>
              <w:rPr>
                <w:b/>
              </w:rPr>
            </w:pPr>
            <w:r w:rsidRPr="00ED2A13">
              <w:rPr>
                <w:rFonts w:cs="Arial"/>
                <w:b/>
                <w:iCs/>
              </w:rPr>
              <w:t>Escape</w:t>
            </w:r>
          </w:p>
          <w:p w:rsidR="00A8371D" w:rsidRPr="002D2E34" w:rsidRDefault="00A8371D" w:rsidP="00A63DC8">
            <w:pPr>
              <w:jc w:val="both"/>
            </w:pPr>
            <w:r w:rsidRPr="00ED2A13">
              <w:rPr>
                <w:rFonts w:cs="Arial"/>
              </w:rPr>
              <w:t>o</w:t>
            </w:r>
            <w:r w:rsidRPr="00ED2A13">
              <w:rPr>
                <w:rFonts w:cs="Arial"/>
                <w:b/>
                <w:iCs/>
              </w:rPr>
              <w:br/>
              <w:t>Alt+F4</w:t>
            </w:r>
          </w:p>
        </w:tc>
      </w:tr>
      <w:tr w:rsidR="00A8371D" w:rsidRPr="002D2E34" w:rsidTr="00DF7D44">
        <w:tc>
          <w:tcPr>
            <w:tcW w:w="0" w:type="auto"/>
          </w:tcPr>
          <w:p w:rsidR="00A8371D" w:rsidRPr="002D2E34" w:rsidRDefault="00A8371D" w:rsidP="00A63DC8">
            <w:pPr>
              <w:jc w:val="both"/>
            </w:pPr>
            <w:r w:rsidRPr="00DF7D44">
              <w:rPr>
                <w:rFonts w:cs="Arial"/>
                <w:bCs/>
              </w:rPr>
              <w:t xml:space="preserve">Borrar </w:t>
            </w:r>
            <w:r w:rsidRPr="00DF7D44">
              <w:rPr>
                <w:rFonts w:cs="Arial"/>
              </w:rPr>
              <w:t>el último resultado</w:t>
            </w:r>
          </w:p>
        </w:tc>
        <w:tc>
          <w:tcPr>
            <w:tcW w:w="0" w:type="auto"/>
          </w:tcPr>
          <w:p w:rsidR="00A8371D" w:rsidRPr="00ED2A13" w:rsidRDefault="00A8371D" w:rsidP="00A63DC8">
            <w:pPr>
              <w:jc w:val="both"/>
              <w:rPr>
                <w:b/>
              </w:rPr>
            </w:pPr>
            <w:r w:rsidRPr="00ED2A13">
              <w:rPr>
                <w:rFonts w:cs="Arial"/>
                <w:b/>
                <w:iCs/>
              </w:rPr>
              <w:t>Espacio en blanco</w:t>
            </w:r>
          </w:p>
        </w:tc>
      </w:tr>
      <w:tr w:rsidR="00A8371D" w:rsidRPr="002D2E34" w:rsidTr="00DF7D44">
        <w:tc>
          <w:tcPr>
            <w:tcW w:w="0" w:type="auto"/>
          </w:tcPr>
          <w:p w:rsidR="00A8371D" w:rsidRPr="002D2E34" w:rsidRDefault="00A8371D" w:rsidP="00A63DC8">
            <w:pPr>
              <w:jc w:val="both"/>
            </w:pPr>
            <w:r w:rsidRPr="00DF7D44">
              <w:rPr>
                <w:rFonts w:cs="Arial"/>
                <w:bCs/>
              </w:rPr>
              <w:t>Memorizar el resultado </w:t>
            </w:r>
            <w:r w:rsidRPr="00DF7D44">
              <w:rPr>
                <w:rFonts w:cs="Arial"/>
              </w:rPr>
              <w:t xml:space="preserve"> de la expresión o el valor de la caja de texto (como las calculadoras de bolsillo)</w:t>
            </w:r>
          </w:p>
        </w:tc>
        <w:tc>
          <w:tcPr>
            <w:tcW w:w="0" w:type="auto"/>
          </w:tcPr>
          <w:p w:rsidR="00A8371D" w:rsidRPr="00ED2A13" w:rsidRDefault="00A8371D" w:rsidP="00A63DC8">
            <w:pPr>
              <w:jc w:val="both"/>
              <w:rPr>
                <w:b/>
              </w:rPr>
            </w:pPr>
            <w:r w:rsidRPr="00ED2A13">
              <w:rPr>
                <w:rFonts w:cs="Arial"/>
                <w:b/>
                <w:iCs/>
              </w:rPr>
              <w:t>M</w:t>
            </w:r>
          </w:p>
        </w:tc>
      </w:tr>
      <w:tr w:rsidR="00A8371D" w:rsidRPr="002D2E34" w:rsidTr="00DF7D44">
        <w:tc>
          <w:tcPr>
            <w:tcW w:w="0" w:type="auto"/>
          </w:tcPr>
          <w:p w:rsidR="00A8371D" w:rsidRPr="002D2E34" w:rsidRDefault="00A8371D" w:rsidP="00A63DC8">
            <w:pPr>
              <w:jc w:val="both"/>
            </w:pPr>
            <w:r w:rsidRPr="00DF7D44">
              <w:rPr>
                <w:rFonts w:cs="Arial"/>
                <w:bCs/>
              </w:rPr>
              <w:t xml:space="preserve">Sumar </w:t>
            </w:r>
            <w:r w:rsidRPr="00DF7D44">
              <w:rPr>
                <w:rFonts w:cs="Arial"/>
              </w:rPr>
              <w:t>el número memorizado al resultado de la expresión o al número introducido en la caja de texto.</w:t>
            </w:r>
          </w:p>
        </w:tc>
        <w:tc>
          <w:tcPr>
            <w:tcW w:w="0" w:type="auto"/>
          </w:tcPr>
          <w:p w:rsidR="00A8371D" w:rsidRPr="00ED2A13" w:rsidRDefault="00A8371D" w:rsidP="00A63DC8">
            <w:pPr>
              <w:jc w:val="both"/>
              <w:rPr>
                <w:b/>
              </w:rPr>
            </w:pPr>
            <w:r w:rsidRPr="00ED2A13">
              <w:rPr>
                <w:rFonts w:cs="Arial"/>
                <w:b/>
                <w:iCs/>
              </w:rPr>
              <w:t>A</w:t>
            </w:r>
          </w:p>
        </w:tc>
      </w:tr>
      <w:tr w:rsidR="00A8371D" w:rsidRPr="002D2E34" w:rsidTr="00DF7D44">
        <w:tc>
          <w:tcPr>
            <w:tcW w:w="0" w:type="auto"/>
          </w:tcPr>
          <w:p w:rsidR="00A8371D" w:rsidRPr="002D2E34" w:rsidRDefault="00A8371D" w:rsidP="00A63DC8">
            <w:pPr>
              <w:jc w:val="both"/>
            </w:pPr>
            <w:r w:rsidRPr="00DF7D44">
              <w:rPr>
                <w:rFonts w:cs="Arial"/>
                <w:bCs/>
              </w:rPr>
              <w:t>Borrar la memoria</w:t>
            </w:r>
          </w:p>
        </w:tc>
        <w:tc>
          <w:tcPr>
            <w:tcW w:w="0" w:type="auto"/>
          </w:tcPr>
          <w:p w:rsidR="00A8371D" w:rsidRPr="00ED2A13" w:rsidRDefault="00A8371D" w:rsidP="00A63DC8">
            <w:pPr>
              <w:jc w:val="both"/>
              <w:rPr>
                <w:b/>
              </w:rPr>
            </w:pPr>
            <w:r w:rsidRPr="00ED2A13">
              <w:rPr>
                <w:rFonts w:cs="Arial"/>
                <w:b/>
                <w:iCs/>
              </w:rPr>
              <w:t>C</w:t>
            </w:r>
          </w:p>
        </w:tc>
      </w:tr>
      <w:tr w:rsidR="00A8371D" w:rsidRPr="002D2E34" w:rsidTr="00DF7D44">
        <w:tc>
          <w:tcPr>
            <w:tcW w:w="0" w:type="auto"/>
          </w:tcPr>
          <w:p w:rsidR="00A8371D" w:rsidRPr="002D2E34" w:rsidRDefault="00A8371D" w:rsidP="00A63DC8">
            <w:pPr>
              <w:jc w:val="both"/>
            </w:pPr>
            <w:r w:rsidRPr="00DF7D44">
              <w:rPr>
                <w:rFonts w:cs="Arial"/>
                <w:bCs/>
              </w:rPr>
              <w:t xml:space="preserve">Calcular la raíz cuadrada </w:t>
            </w:r>
            <w:r w:rsidRPr="00DF7D44">
              <w:rPr>
                <w:rFonts w:cs="Arial"/>
              </w:rPr>
              <w:t>del número (o del resultado, si hay una expresión válida)</w:t>
            </w:r>
          </w:p>
        </w:tc>
        <w:tc>
          <w:tcPr>
            <w:tcW w:w="0" w:type="auto"/>
          </w:tcPr>
          <w:p w:rsidR="00A8371D" w:rsidRPr="00ED2A13" w:rsidRDefault="00A8371D" w:rsidP="00A63DC8">
            <w:pPr>
              <w:jc w:val="both"/>
              <w:rPr>
                <w:b/>
              </w:rPr>
            </w:pPr>
            <w:r w:rsidRPr="00ED2A13">
              <w:rPr>
                <w:rFonts w:cs="Arial"/>
                <w:b/>
                <w:iCs/>
              </w:rPr>
              <w:t>R</w:t>
            </w:r>
          </w:p>
        </w:tc>
      </w:tr>
      <w:tr w:rsidR="00A8371D" w:rsidRPr="002D2E34" w:rsidTr="00DF7D44">
        <w:tc>
          <w:tcPr>
            <w:tcW w:w="0" w:type="auto"/>
          </w:tcPr>
          <w:p w:rsidR="00A8371D" w:rsidRPr="002D2E34" w:rsidRDefault="00A8371D" w:rsidP="00A63DC8">
            <w:pPr>
              <w:jc w:val="both"/>
            </w:pPr>
            <w:r w:rsidRPr="00DF7D44">
              <w:rPr>
                <w:rFonts w:cs="Arial"/>
                <w:bCs/>
              </w:rPr>
              <w:t xml:space="preserve">Calcular la raíz cúbica </w:t>
            </w:r>
            <w:r w:rsidRPr="00DF7D44">
              <w:rPr>
                <w:rFonts w:cs="Arial"/>
              </w:rPr>
              <w:t>del número (o del resultado, si es una expresión válida)</w:t>
            </w:r>
          </w:p>
        </w:tc>
        <w:tc>
          <w:tcPr>
            <w:tcW w:w="0" w:type="auto"/>
          </w:tcPr>
          <w:p w:rsidR="00A8371D" w:rsidRPr="00ED2A13" w:rsidRDefault="00A8371D" w:rsidP="00A63DC8">
            <w:pPr>
              <w:jc w:val="both"/>
              <w:rPr>
                <w:b/>
              </w:rPr>
            </w:pPr>
            <w:r w:rsidRPr="00ED2A13">
              <w:rPr>
                <w:rFonts w:cs="Arial"/>
                <w:b/>
                <w:iCs/>
              </w:rPr>
              <w:t>T</w:t>
            </w:r>
          </w:p>
        </w:tc>
      </w:tr>
      <w:tr w:rsidR="00A8371D" w:rsidRPr="002D2E34" w:rsidTr="00DF7D44">
        <w:tc>
          <w:tcPr>
            <w:tcW w:w="0" w:type="auto"/>
          </w:tcPr>
          <w:p w:rsidR="00A8371D" w:rsidRPr="002D2E34" w:rsidRDefault="00A8371D" w:rsidP="00A63DC8">
            <w:pPr>
              <w:jc w:val="both"/>
            </w:pPr>
            <w:r w:rsidRPr="00DF7D44">
              <w:rPr>
                <w:rFonts w:cs="Arial"/>
                <w:bCs/>
              </w:rPr>
              <w:t xml:space="preserve">Calcular el inverso </w:t>
            </w:r>
            <w:r w:rsidRPr="00DF7D44">
              <w:rPr>
                <w:rFonts w:cs="Arial"/>
              </w:rPr>
              <w:t>(1/x) de un número.</w:t>
            </w:r>
          </w:p>
        </w:tc>
        <w:tc>
          <w:tcPr>
            <w:tcW w:w="0" w:type="auto"/>
          </w:tcPr>
          <w:p w:rsidR="00A8371D" w:rsidRPr="00ED2A13" w:rsidRDefault="00A8371D" w:rsidP="00A63DC8">
            <w:pPr>
              <w:jc w:val="both"/>
              <w:rPr>
                <w:b/>
              </w:rPr>
            </w:pPr>
            <w:r w:rsidRPr="00ED2A13">
              <w:rPr>
                <w:rFonts w:cs="Arial"/>
                <w:b/>
                <w:iCs/>
                <w:szCs w:val="20"/>
              </w:rPr>
              <w:t>I</w:t>
            </w:r>
          </w:p>
        </w:tc>
      </w:tr>
    </w:tbl>
    <w:p w:rsidR="00A8371D" w:rsidRDefault="00A8371D" w:rsidP="00A63DC8">
      <w:pPr>
        <w:jc w:val="both"/>
      </w:pPr>
    </w:p>
    <w:p w:rsidR="00A8371D" w:rsidRDefault="00A8371D" w:rsidP="00A63DC8">
      <w:pPr>
        <w:jc w:val="both"/>
      </w:pPr>
      <w:r>
        <w:t>Estos comandos se aplican en la forma siguiente:</w:t>
      </w:r>
    </w:p>
    <w:p w:rsidR="00A8371D" w:rsidRDefault="00A8371D" w:rsidP="00A63DC8">
      <w:pPr>
        <w:numPr>
          <w:ilvl w:val="1"/>
          <w:numId w:val="3"/>
        </w:numPr>
        <w:jc w:val="both"/>
      </w:pPr>
      <w:r>
        <w:t>Se escribe el argumento o cantidad cuyo resultado se quiera obtener tras aplicar el comando. Puede ser una  expresión, pero el resultado debe ser válido.</w:t>
      </w:r>
    </w:p>
    <w:p w:rsidR="00A8371D" w:rsidRDefault="00A8371D" w:rsidP="00A63DC8">
      <w:pPr>
        <w:numPr>
          <w:ilvl w:val="1"/>
          <w:numId w:val="3"/>
        </w:numPr>
        <w:jc w:val="both"/>
      </w:pPr>
      <w:r>
        <w:t>se pulsa la letra característica de la operación a realizar, según el cuadro anterior.</w:t>
      </w:r>
    </w:p>
    <w:p w:rsidR="00A8371D" w:rsidRDefault="00A8371D" w:rsidP="00A63DC8">
      <w:pPr>
        <w:numPr>
          <w:ilvl w:val="1"/>
          <w:numId w:val="3"/>
        </w:numPr>
        <w:jc w:val="both"/>
      </w:pPr>
      <w:r>
        <w:t xml:space="preserve">Se pulsa </w:t>
      </w:r>
      <w:r w:rsidRPr="00ED2A13">
        <w:rPr>
          <w:b/>
        </w:rPr>
        <w:t>ENTER</w:t>
      </w:r>
      <w:r>
        <w:t xml:space="preserve">, o </w:t>
      </w:r>
      <w:r w:rsidRPr="00ED2A13">
        <w:rPr>
          <w:b/>
        </w:rPr>
        <w:t>FLECHA DERECHA</w:t>
      </w:r>
      <w:r>
        <w:t xml:space="preserve"> (que no verbaliza el resultado)</w:t>
      </w:r>
    </w:p>
    <w:p w:rsidR="00A8371D" w:rsidRDefault="00A8371D" w:rsidP="00A63DC8">
      <w:pPr>
        <w:jc w:val="both"/>
      </w:pPr>
    </w:p>
    <w:p w:rsidR="00A8371D" w:rsidRDefault="00A8371D" w:rsidP="00A63DC8">
      <w:pPr>
        <w:jc w:val="both"/>
      </w:pPr>
      <w:r w:rsidRPr="002D2E34">
        <w:t>Cuando se sale del entorno de la calculadora y se vuelve al editor, es posible copiar, en cualquier punto de la página, el resultado de la última operación realizada</w:t>
      </w:r>
      <w:r>
        <w:t>, mediante el comando:</w:t>
      </w:r>
    </w:p>
    <w:p w:rsidR="00A8371D" w:rsidRPr="00ED2A13" w:rsidRDefault="00A8371D" w:rsidP="00DA620B">
      <w:pPr>
        <w:jc w:val="both"/>
        <w:outlineLvl w:val="0"/>
        <w:rPr>
          <w:b/>
        </w:rPr>
      </w:pPr>
      <w:r w:rsidRPr="00ED2A13">
        <w:rPr>
          <w:b/>
        </w:rPr>
        <w:t>“Herramientas / Pegar resultado”</w:t>
      </w:r>
    </w:p>
    <w:p w:rsidR="00A8371D" w:rsidRDefault="00A8371D" w:rsidP="00A63DC8">
      <w:pPr>
        <w:jc w:val="both"/>
      </w:pPr>
      <w:r>
        <w:t>(</w:t>
      </w:r>
      <w:r w:rsidRPr="00ED2A13">
        <w:rPr>
          <w:b/>
        </w:rPr>
        <w:t>CONTROL+F9</w:t>
      </w:r>
      <w:r>
        <w:t xml:space="preserve">, en “Parche </w:t>
      </w:r>
      <w:smartTag w:uri="urn:schemas-microsoft-com:office:smarttags" w:element="metricconverter">
        <w:smartTagPr>
          <w:attr w:name="ProductID" w:val="2015 A"/>
        </w:smartTagPr>
        <w:r>
          <w:t>2015 A</w:t>
        </w:r>
      </w:smartTag>
      <w:r>
        <w:t>”)</w:t>
      </w:r>
    </w:p>
    <w:p w:rsidR="00A8371D" w:rsidRDefault="00A8371D" w:rsidP="00A63DC8">
      <w:pPr>
        <w:jc w:val="both"/>
      </w:pPr>
    </w:p>
    <w:p w:rsidR="00A8371D" w:rsidRPr="002D2E34" w:rsidRDefault="00A8371D" w:rsidP="00A63DC8">
      <w:pPr>
        <w:jc w:val="both"/>
      </w:pPr>
    </w:p>
    <w:p w:rsidR="00A8371D" w:rsidRPr="00ED2A13" w:rsidRDefault="00A8371D" w:rsidP="00A63DC8">
      <w:pPr>
        <w:numPr>
          <w:ilvl w:val="0"/>
          <w:numId w:val="3"/>
        </w:numPr>
        <w:jc w:val="both"/>
        <w:rPr>
          <w:b/>
        </w:rPr>
      </w:pPr>
      <w:r w:rsidRPr="00ED2A13">
        <w:rPr>
          <w:rFonts w:cs="Arial"/>
          <w:b/>
          <w:szCs w:val="28"/>
        </w:rPr>
        <w:t>Cambiar ajustes de la calculadora</w:t>
      </w:r>
    </w:p>
    <w:p w:rsidR="00A8371D" w:rsidRPr="00ED2A13" w:rsidRDefault="00A8371D" w:rsidP="00A63DC8">
      <w:pPr>
        <w:jc w:val="both"/>
        <w:rPr>
          <w:sz w:val="22"/>
        </w:rPr>
      </w:pPr>
    </w:p>
    <w:p w:rsidR="00A8371D" w:rsidRDefault="00A8371D" w:rsidP="00A63DC8">
      <w:pPr>
        <w:jc w:val="both"/>
        <w:rPr>
          <w:rFonts w:cs="Arial"/>
        </w:rPr>
      </w:pPr>
      <w:r>
        <w:rPr>
          <w:rFonts w:cs="Arial"/>
        </w:rPr>
        <w:t xml:space="preserve">Los </w:t>
      </w:r>
      <w:r w:rsidRPr="002D2E34">
        <w:rPr>
          <w:rFonts w:cs="Arial"/>
        </w:rPr>
        <w:t>ajuste</w:t>
      </w:r>
      <w:r>
        <w:rPr>
          <w:rFonts w:cs="Arial"/>
        </w:rPr>
        <w:t>s</w:t>
      </w:r>
      <w:r w:rsidRPr="002D2E34">
        <w:rPr>
          <w:rFonts w:cs="Arial"/>
        </w:rPr>
        <w:t xml:space="preserve"> se realiza</w:t>
      </w:r>
      <w:r>
        <w:rPr>
          <w:rFonts w:cs="Arial"/>
        </w:rPr>
        <w:t>n</w:t>
      </w:r>
      <w:r w:rsidRPr="002D2E34">
        <w:rPr>
          <w:rFonts w:cs="Arial"/>
        </w:rPr>
        <w:t xml:space="preserve"> sólo en la ventana de la calculadora, pero s</w:t>
      </w:r>
      <w:r>
        <w:rPr>
          <w:rFonts w:cs="Arial"/>
        </w:rPr>
        <w:t>on</w:t>
      </w:r>
      <w:r w:rsidRPr="002D2E34">
        <w:rPr>
          <w:rFonts w:cs="Arial"/>
        </w:rPr>
        <w:t xml:space="preserve"> válido</w:t>
      </w:r>
      <w:r>
        <w:rPr>
          <w:rFonts w:cs="Arial"/>
        </w:rPr>
        <w:t>s</w:t>
      </w:r>
      <w:r w:rsidRPr="002D2E34">
        <w:rPr>
          <w:rFonts w:cs="Arial"/>
        </w:rPr>
        <w:t xml:space="preserve"> para ambas modalidades. Es decir: se necesita abrir la ventana de la calculadora para cambiar el ajuste ligado al editor.</w:t>
      </w:r>
    </w:p>
    <w:p w:rsidR="00A8371D" w:rsidRDefault="00A8371D" w:rsidP="00A63DC8">
      <w:pPr>
        <w:jc w:val="both"/>
        <w:rPr>
          <w:rFonts w:cs="Arial"/>
        </w:rPr>
      </w:pPr>
      <w:r w:rsidRPr="002D2E34">
        <w:rPr>
          <w:rFonts w:cs="Arial"/>
        </w:rPr>
        <w:t>Se puede</w:t>
      </w:r>
      <w:r>
        <w:rPr>
          <w:rFonts w:cs="Arial"/>
        </w:rPr>
        <w:t>n</w:t>
      </w:r>
      <w:r w:rsidRPr="002D2E34">
        <w:rPr>
          <w:rFonts w:cs="Arial"/>
        </w:rPr>
        <w:t xml:space="preserve"> fijar:</w:t>
      </w:r>
    </w:p>
    <w:p w:rsidR="00A8371D" w:rsidRPr="002D2E34" w:rsidRDefault="00A8371D" w:rsidP="00A63DC8">
      <w:pPr>
        <w:jc w:val="both"/>
      </w:pPr>
    </w:p>
    <w:p w:rsidR="00A8371D" w:rsidRPr="00473E7A" w:rsidRDefault="00A8371D" w:rsidP="00A63DC8">
      <w:pPr>
        <w:numPr>
          <w:ilvl w:val="0"/>
          <w:numId w:val="5"/>
        </w:numPr>
        <w:jc w:val="both"/>
      </w:pPr>
      <w:r>
        <w:rPr>
          <w:rFonts w:cs="Arial"/>
        </w:rPr>
        <w:t>E</w:t>
      </w:r>
      <w:r w:rsidRPr="002D2E34">
        <w:rPr>
          <w:rFonts w:cs="Arial"/>
        </w:rPr>
        <w:t xml:space="preserve">l número de cifras decimales visualizadas (de </w:t>
      </w:r>
      <w:smartTag w:uri="urn:schemas-microsoft-com:office:smarttags" w:element="metricconverter">
        <w:smartTagPr>
          <w:attr w:name="ProductID" w:val="0 a"/>
        </w:smartTagPr>
        <w:r w:rsidRPr="002D2E34">
          <w:rPr>
            <w:rFonts w:cs="Arial"/>
          </w:rPr>
          <w:t>0 a</w:t>
        </w:r>
      </w:smartTag>
      <w:r w:rsidRPr="002D2E34">
        <w:rPr>
          <w:rFonts w:cs="Arial"/>
        </w:rPr>
        <w:t xml:space="preserve"> 17).</w:t>
      </w:r>
    </w:p>
    <w:p w:rsidR="00A8371D" w:rsidRPr="002D2E34" w:rsidRDefault="00A8371D" w:rsidP="00A63DC8">
      <w:pPr>
        <w:numPr>
          <w:ilvl w:val="0"/>
          <w:numId w:val="5"/>
        </w:numPr>
        <w:jc w:val="both"/>
      </w:pPr>
      <w:r>
        <w:rPr>
          <w:rFonts w:cs="Arial"/>
        </w:rPr>
        <w:t>E</w:t>
      </w:r>
      <w:r w:rsidRPr="002D2E34">
        <w:rPr>
          <w:rFonts w:cs="Arial"/>
        </w:rPr>
        <w:t>l sistema de medida de ángulos, se puede escoger entre grados sexagesimales, radianes o grados centesimales.</w:t>
      </w:r>
    </w:p>
    <w:p w:rsidR="00A8371D" w:rsidRDefault="00A8371D" w:rsidP="00A63DC8">
      <w:pPr>
        <w:jc w:val="both"/>
      </w:pPr>
    </w:p>
    <w:p w:rsidR="00A8371D" w:rsidRPr="00A63DC8" w:rsidRDefault="00A8371D" w:rsidP="00DA620B">
      <w:pPr>
        <w:jc w:val="both"/>
        <w:outlineLvl w:val="0"/>
        <w:rPr>
          <w:sz w:val="20"/>
          <w:szCs w:val="20"/>
        </w:rPr>
      </w:pPr>
      <w:r w:rsidRPr="00A63DC8">
        <w:rPr>
          <w:sz w:val="20"/>
          <w:szCs w:val="20"/>
        </w:rPr>
        <w:t>GPL:</w:t>
      </w:r>
    </w:p>
    <w:p w:rsidR="00A8371D" w:rsidRPr="00A63DC8" w:rsidRDefault="00A8371D" w:rsidP="00DA620B">
      <w:pPr>
        <w:jc w:val="both"/>
        <w:outlineLvl w:val="0"/>
        <w:rPr>
          <w:rFonts w:cs="Arial"/>
          <w:sz w:val="20"/>
          <w:szCs w:val="20"/>
        </w:rPr>
      </w:pPr>
      <w:r w:rsidRPr="00A63DC8">
        <w:rPr>
          <w:rFonts w:cs="Arial"/>
          <w:sz w:val="20"/>
          <w:szCs w:val="20"/>
        </w:rPr>
        <w:t>José Enrique Fernández del Campo</w:t>
      </w:r>
    </w:p>
    <w:p w:rsidR="00A8371D" w:rsidRPr="00A63DC8" w:rsidRDefault="00A8371D" w:rsidP="00A63DC8">
      <w:pPr>
        <w:jc w:val="both"/>
        <w:rPr>
          <w:rFonts w:cs="Arial"/>
          <w:sz w:val="20"/>
          <w:szCs w:val="20"/>
        </w:rPr>
      </w:pPr>
      <w:hyperlink r:id="rId8" w:history="1">
        <w:r w:rsidRPr="00A63DC8">
          <w:rPr>
            <w:rStyle w:val="Hyperlink"/>
            <w:rFonts w:cs="Arial"/>
            <w:sz w:val="20"/>
            <w:szCs w:val="20"/>
          </w:rPr>
          <w:t>jefdelcampo@gmail.com</w:t>
        </w:r>
      </w:hyperlink>
    </w:p>
    <w:p w:rsidR="00A8371D" w:rsidRPr="00A63DC8" w:rsidRDefault="00A8371D" w:rsidP="00A63DC8">
      <w:pPr>
        <w:jc w:val="both"/>
        <w:rPr>
          <w:sz w:val="20"/>
          <w:szCs w:val="20"/>
        </w:rPr>
      </w:pPr>
      <w:r w:rsidRPr="00A63DC8">
        <w:rPr>
          <w:rFonts w:cs="Arial"/>
          <w:sz w:val="20"/>
          <w:szCs w:val="20"/>
        </w:rPr>
        <w:t>Madrid, febrero 2016</w:t>
      </w:r>
    </w:p>
    <w:sectPr w:rsidR="00A8371D" w:rsidRPr="00A63DC8" w:rsidSect="009716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C6D"/>
    <w:multiLevelType w:val="hybridMultilevel"/>
    <w:tmpl w:val="A9F0E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4F21E4"/>
    <w:multiLevelType w:val="hybridMultilevel"/>
    <w:tmpl w:val="E2C674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5A74CDA"/>
    <w:multiLevelType w:val="hybridMultilevel"/>
    <w:tmpl w:val="30CEB63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EBC47DF"/>
    <w:multiLevelType w:val="hybridMultilevel"/>
    <w:tmpl w:val="DBE8CCB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DD3445D"/>
    <w:multiLevelType w:val="hybridMultilevel"/>
    <w:tmpl w:val="E730CCE6"/>
    <w:lvl w:ilvl="0" w:tplc="0C0A000F">
      <w:start w:val="1"/>
      <w:numFmt w:val="decimal"/>
      <w:lvlText w:val="%1."/>
      <w:lvlJc w:val="left"/>
      <w:pPr>
        <w:tabs>
          <w:tab w:val="num" w:pos="720"/>
        </w:tabs>
        <w:ind w:left="720" w:hanging="360"/>
      </w:pPr>
      <w:rPr>
        <w:rFonts w:cs="Times New Roman"/>
      </w:rPr>
    </w:lvl>
    <w:lvl w:ilvl="1" w:tplc="0C0A0017">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65FD71E2"/>
    <w:multiLevelType w:val="hybridMultilevel"/>
    <w:tmpl w:val="951CF412"/>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
    <w:nsid w:val="7B23517E"/>
    <w:multiLevelType w:val="hybridMultilevel"/>
    <w:tmpl w:val="1466DC2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57B"/>
    <w:rsid w:val="000026B1"/>
    <w:rsid w:val="00011959"/>
    <w:rsid w:val="000127F6"/>
    <w:rsid w:val="00013380"/>
    <w:rsid w:val="00015CCD"/>
    <w:rsid w:val="000175A3"/>
    <w:rsid w:val="00026214"/>
    <w:rsid w:val="000332CB"/>
    <w:rsid w:val="00033F32"/>
    <w:rsid w:val="00034551"/>
    <w:rsid w:val="00046ADB"/>
    <w:rsid w:val="00047721"/>
    <w:rsid w:val="00056532"/>
    <w:rsid w:val="00065714"/>
    <w:rsid w:val="000769E3"/>
    <w:rsid w:val="00080A52"/>
    <w:rsid w:val="00090FC2"/>
    <w:rsid w:val="00091B1F"/>
    <w:rsid w:val="000947D8"/>
    <w:rsid w:val="000A2782"/>
    <w:rsid w:val="000C2B98"/>
    <w:rsid w:val="000C36C8"/>
    <w:rsid w:val="000C37BC"/>
    <w:rsid w:val="000C396C"/>
    <w:rsid w:val="000C3ADA"/>
    <w:rsid w:val="000C7BE4"/>
    <w:rsid w:val="000D78F0"/>
    <w:rsid w:val="000E26FC"/>
    <w:rsid w:val="000E3439"/>
    <w:rsid w:val="000F0167"/>
    <w:rsid w:val="000F1D83"/>
    <w:rsid w:val="001004A4"/>
    <w:rsid w:val="001135D4"/>
    <w:rsid w:val="00115659"/>
    <w:rsid w:val="00124276"/>
    <w:rsid w:val="001305CB"/>
    <w:rsid w:val="00130787"/>
    <w:rsid w:val="00134AC7"/>
    <w:rsid w:val="00135715"/>
    <w:rsid w:val="00147D36"/>
    <w:rsid w:val="00156D1F"/>
    <w:rsid w:val="001603CA"/>
    <w:rsid w:val="0016411D"/>
    <w:rsid w:val="00164BC9"/>
    <w:rsid w:val="00165F8F"/>
    <w:rsid w:val="001777BD"/>
    <w:rsid w:val="00192D5F"/>
    <w:rsid w:val="00195064"/>
    <w:rsid w:val="00197ACC"/>
    <w:rsid w:val="001B29CA"/>
    <w:rsid w:val="001B4068"/>
    <w:rsid w:val="001B548F"/>
    <w:rsid w:val="001C43E2"/>
    <w:rsid w:val="001C7287"/>
    <w:rsid w:val="001D18A6"/>
    <w:rsid w:val="001E1554"/>
    <w:rsid w:val="001E638A"/>
    <w:rsid w:val="001F027C"/>
    <w:rsid w:val="002038DD"/>
    <w:rsid w:val="002139A5"/>
    <w:rsid w:val="002139F1"/>
    <w:rsid w:val="00216133"/>
    <w:rsid w:val="00221048"/>
    <w:rsid w:val="002210AE"/>
    <w:rsid w:val="00222191"/>
    <w:rsid w:val="002236F7"/>
    <w:rsid w:val="00230030"/>
    <w:rsid w:val="00243781"/>
    <w:rsid w:val="00245C0F"/>
    <w:rsid w:val="00250A0E"/>
    <w:rsid w:val="00252EA7"/>
    <w:rsid w:val="002531B4"/>
    <w:rsid w:val="00255AFE"/>
    <w:rsid w:val="00256611"/>
    <w:rsid w:val="00256C50"/>
    <w:rsid w:val="00257B18"/>
    <w:rsid w:val="002620D5"/>
    <w:rsid w:val="00262179"/>
    <w:rsid w:val="0026354B"/>
    <w:rsid w:val="00273F16"/>
    <w:rsid w:val="002814CA"/>
    <w:rsid w:val="0028706A"/>
    <w:rsid w:val="00291E01"/>
    <w:rsid w:val="00294914"/>
    <w:rsid w:val="002A223A"/>
    <w:rsid w:val="002A3177"/>
    <w:rsid w:val="002B2346"/>
    <w:rsid w:val="002B281F"/>
    <w:rsid w:val="002B7315"/>
    <w:rsid w:val="002C1A34"/>
    <w:rsid w:val="002C4287"/>
    <w:rsid w:val="002C72C2"/>
    <w:rsid w:val="002D2E34"/>
    <w:rsid w:val="002E05EF"/>
    <w:rsid w:val="002E76DC"/>
    <w:rsid w:val="002F3A7F"/>
    <w:rsid w:val="002F46D2"/>
    <w:rsid w:val="003108D7"/>
    <w:rsid w:val="00313A39"/>
    <w:rsid w:val="00313D06"/>
    <w:rsid w:val="003160E4"/>
    <w:rsid w:val="00316FCC"/>
    <w:rsid w:val="00322B67"/>
    <w:rsid w:val="00327391"/>
    <w:rsid w:val="00333E67"/>
    <w:rsid w:val="00334841"/>
    <w:rsid w:val="00356CB1"/>
    <w:rsid w:val="003721B4"/>
    <w:rsid w:val="0037584F"/>
    <w:rsid w:val="00385F7D"/>
    <w:rsid w:val="003870EC"/>
    <w:rsid w:val="0038765A"/>
    <w:rsid w:val="00393B1F"/>
    <w:rsid w:val="00395C97"/>
    <w:rsid w:val="00397863"/>
    <w:rsid w:val="003A2280"/>
    <w:rsid w:val="003A2AEE"/>
    <w:rsid w:val="003B2BB8"/>
    <w:rsid w:val="003B3C5E"/>
    <w:rsid w:val="003C0D54"/>
    <w:rsid w:val="003C4B61"/>
    <w:rsid w:val="003D3F08"/>
    <w:rsid w:val="003D4675"/>
    <w:rsid w:val="003E0BE8"/>
    <w:rsid w:val="003E21E1"/>
    <w:rsid w:val="003E256A"/>
    <w:rsid w:val="003E3E9A"/>
    <w:rsid w:val="003E402B"/>
    <w:rsid w:val="003E707A"/>
    <w:rsid w:val="003F6B5C"/>
    <w:rsid w:val="00402773"/>
    <w:rsid w:val="00403482"/>
    <w:rsid w:val="00405079"/>
    <w:rsid w:val="004053FB"/>
    <w:rsid w:val="00417D2C"/>
    <w:rsid w:val="004236B7"/>
    <w:rsid w:val="00441D13"/>
    <w:rsid w:val="004453F4"/>
    <w:rsid w:val="00461A65"/>
    <w:rsid w:val="00462E6F"/>
    <w:rsid w:val="00473E7A"/>
    <w:rsid w:val="004855AE"/>
    <w:rsid w:val="004923B9"/>
    <w:rsid w:val="0049447D"/>
    <w:rsid w:val="00494C7C"/>
    <w:rsid w:val="004A4BBC"/>
    <w:rsid w:val="004B25F0"/>
    <w:rsid w:val="004B7F84"/>
    <w:rsid w:val="004D3826"/>
    <w:rsid w:val="004E1736"/>
    <w:rsid w:val="004E2666"/>
    <w:rsid w:val="004E2801"/>
    <w:rsid w:val="004E3D99"/>
    <w:rsid w:val="004E4484"/>
    <w:rsid w:val="004E6C34"/>
    <w:rsid w:val="004F1F70"/>
    <w:rsid w:val="004F3D72"/>
    <w:rsid w:val="004F4FE7"/>
    <w:rsid w:val="004F5D6E"/>
    <w:rsid w:val="00500A17"/>
    <w:rsid w:val="00507AB1"/>
    <w:rsid w:val="00510B24"/>
    <w:rsid w:val="005123E7"/>
    <w:rsid w:val="00513EBF"/>
    <w:rsid w:val="00521417"/>
    <w:rsid w:val="00523E57"/>
    <w:rsid w:val="005257FB"/>
    <w:rsid w:val="00532B0F"/>
    <w:rsid w:val="00535243"/>
    <w:rsid w:val="00543521"/>
    <w:rsid w:val="0055243D"/>
    <w:rsid w:val="005532DC"/>
    <w:rsid w:val="0056129F"/>
    <w:rsid w:val="00564238"/>
    <w:rsid w:val="00565A24"/>
    <w:rsid w:val="0056653F"/>
    <w:rsid w:val="005665F0"/>
    <w:rsid w:val="00574CEA"/>
    <w:rsid w:val="00581809"/>
    <w:rsid w:val="005828EF"/>
    <w:rsid w:val="00596404"/>
    <w:rsid w:val="005A117C"/>
    <w:rsid w:val="005A3538"/>
    <w:rsid w:val="005B3CE3"/>
    <w:rsid w:val="005B5FDD"/>
    <w:rsid w:val="005C1249"/>
    <w:rsid w:val="005D1738"/>
    <w:rsid w:val="005D18B2"/>
    <w:rsid w:val="005E156D"/>
    <w:rsid w:val="005E15E4"/>
    <w:rsid w:val="005E1F9E"/>
    <w:rsid w:val="005E7C05"/>
    <w:rsid w:val="005F39F4"/>
    <w:rsid w:val="006007B3"/>
    <w:rsid w:val="006274A8"/>
    <w:rsid w:val="00630992"/>
    <w:rsid w:val="00632FA6"/>
    <w:rsid w:val="006348E9"/>
    <w:rsid w:val="00640C1B"/>
    <w:rsid w:val="0064606E"/>
    <w:rsid w:val="006460C9"/>
    <w:rsid w:val="00652B9D"/>
    <w:rsid w:val="0066046D"/>
    <w:rsid w:val="00661BBC"/>
    <w:rsid w:val="006623C6"/>
    <w:rsid w:val="00667764"/>
    <w:rsid w:val="00675482"/>
    <w:rsid w:val="00675DE6"/>
    <w:rsid w:val="00677720"/>
    <w:rsid w:val="00687A86"/>
    <w:rsid w:val="00692DB1"/>
    <w:rsid w:val="00695A47"/>
    <w:rsid w:val="00697570"/>
    <w:rsid w:val="006A55C2"/>
    <w:rsid w:val="006A5EB6"/>
    <w:rsid w:val="006B02CB"/>
    <w:rsid w:val="006B511E"/>
    <w:rsid w:val="006B6BDC"/>
    <w:rsid w:val="006B769C"/>
    <w:rsid w:val="006C5722"/>
    <w:rsid w:val="006D66FF"/>
    <w:rsid w:val="006E094B"/>
    <w:rsid w:val="006E1361"/>
    <w:rsid w:val="006E6F33"/>
    <w:rsid w:val="006E6FCE"/>
    <w:rsid w:val="006F2952"/>
    <w:rsid w:val="006F71A1"/>
    <w:rsid w:val="007016D7"/>
    <w:rsid w:val="00702337"/>
    <w:rsid w:val="00702C93"/>
    <w:rsid w:val="007117EF"/>
    <w:rsid w:val="007136E1"/>
    <w:rsid w:val="007174C1"/>
    <w:rsid w:val="0072066D"/>
    <w:rsid w:val="007237F9"/>
    <w:rsid w:val="00723F5C"/>
    <w:rsid w:val="007325D2"/>
    <w:rsid w:val="007359AC"/>
    <w:rsid w:val="00740B62"/>
    <w:rsid w:val="0075044A"/>
    <w:rsid w:val="00757AB4"/>
    <w:rsid w:val="00761E47"/>
    <w:rsid w:val="00772150"/>
    <w:rsid w:val="00774874"/>
    <w:rsid w:val="00783485"/>
    <w:rsid w:val="00783CD0"/>
    <w:rsid w:val="00785DC7"/>
    <w:rsid w:val="00791405"/>
    <w:rsid w:val="00796099"/>
    <w:rsid w:val="007B208E"/>
    <w:rsid w:val="007C5D0C"/>
    <w:rsid w:val="007C7F3A"/>
    <w:rsid w:val="007D4BF7"/>
    <w:rsid w:val="007D53FB"/>
    <w:rsid w:val="007E6647"/>
    <w:rsid w:val="007F4313"/>
    <w:rsid w:val="007F7E24"/>
    <w:rsid w:val="00803BEF"/>
    <w:rsid w:val="00803FB7"/>
    <w:rsid w:val="00814948"/>
    <w:rsid w:val="00833FFD"/>
    <w:rsid w:val="0083476B"/>
    <w:rsid w:val="00860F92"/>
    <w:rsid w:val="0086663B"/>
    <w:rsid w:val="008716AB"/>
    <w:rsid w:val="00875539"/>
    <w:rsid w:val="00880952"/>
    <w:rsid w:val="008827A0"/>
    <w:rsid w:val="00882BB0"/>
    <w:rsid w:val="00893300"/>
    <w:rsid w:val="008A0DD3"/>
    <w:rsid w:val="008A2511"/>
    <w:rsid w:val="008B181D"/>
    <w:rsid w:val="008C18CA"/>
    <w:rsid w:val="008C470C"/>
    <w:rsid w:val="008C689F"/>
    <w:rsid w:val="008D33EB"/>
    <w:rsid w:val="008D415D"/>
    <w:rsid w:val="008E2C6D"/>
    <w:rsid w:val="008E36F2"/>
    <w:rsid w:val="008E77B1"/>
    <w:rsid w:val="008F7F61"/>
    <w:rsid w:val="00914BF4"/>
    <w:rsid w:val="0092156F"/>
    <w:rsid w:val="009243C4"/>
    <w:rsid w:val="00932654"/>
    <w:rsid w:val="00934F62"/>
    <w:rsid w:val="00936D3E"/>
    <w:rsid w:val="00942355"/>
    <w:rsid w:val="00956E81"/>
    <w:rsid w:val="009574F9"/>
    <w:rsid w:val="00960C85"/>
    <w:rsid w:val="00971685"/>
    <w:rsid w:val="009778C2"/>
    <w:rsid w:val="009A3B33"/>
    <w:rsid w:val="009B2FD0"/>
    <w:rsid w:val="009B50A6"/>
    <w:rsid w:val="009B5E7B"/>
    <w:rsid w:val="009C0432"/>
    <w:rsid w:val="009C082A"/>
    <w:rsid w:val="009C3BB5"/>
    <w:rsid w:val="009C4210"/>
    <w:rsid w:val="009E257B"/>
    <w:rsid w:val="009E557B"/>
    <w:rsid w:val="009E670C"/>
    <w:rsid w:val="009F4756"/>
    <w:rsid w:val="00A037A4"/>
    <w:rsid w:val="00A0661D"/>
    <w:rsid w:val="00A0776F"/>
    <w:rsid w:val="00A105E6"/>
    <w:rsid w:val="00A13CC9"/>
    <w:rsid w:val="00A168D9"/>
    <w:rsid w:val="00A255DC"/>
    <w:rsid w:val="00A315F5"/>
    <w:rsid w:val="00A3164C"/>
    <w:rsid w:val="00A36837"/>
    <w:rsid w:val="00A46166"/>
    <w:rsid w:val="00A47BA2"/>
    <w:rsid w:val="00A56E1B"/>
    <w:rsid w:val="00A63DC8"/>
    <w:rsid w:val="00A649B5"/>
    <w:rsid w:val="00A64B82"/>
    <w:rsid w:val="00A6501B"/>
    <w:rsid w:val="00A75F53"/>
    <w:rsid w:val="00A801D1"/>
    <w:rsid w:val="00A8371D"/>
    <w:rsid w:val="00A83FD0"/>
    <w:rsid w:val="00A91300"/>
    <w:rsid w:val="00AA607C"/>
    <w:rsid w:val="00AB16D1"/>
    <w:rsid w:val="00AB638E"/>
    <w:rsid w:val="00AC0B83"/>
    <w:rsid w:val="00AC0F04"/>
    <w:rsid w:val="00AC3AC5"/>
    <w:rsid w:val="00AD01DB"/>
    <w:rsid w:val="00AE4C71"/>
    <w:rsid w:val="00AE508C"/>
    <w:rsid w:val="00AF2B81"/>
    <w:rsid w:val="00AF4585"/>
    <w:rsid w:val="00B00C22"/>
    <w:rsid w:val="00B01E0B"/>
    <w:rsid w:val="00B02177"/>
    <w:rsid w:val="00B02CDA"/>
    <w:rsid w:val="00B07F36"/>
    <w:rsid w:val="00B131A8"/>
    <w:rsid w:val="00B140E3"/>
    <w:rsid w:val="00B31ADC"/>
    <w:rsid w:val="00B34D4F"/>
    <w:rsid w:val="00B37605"/>
    <w:rsid w:val="00B4310A"/>
    <w:rsid w:val="00B61495"/>
    <w:rsid w:val="00B61FDA"/>
    <w:rsid w:val="00B6479F"/>
    <w:rsid w:val="00B64ED6"/>
    <w:rsid w:val="00B655E5"/>
    <w:rsid w:val="00B82C8B"/>
    <w:rsid w:val="00BA3658"/>
    <w:rsid w:val="00BA5ACD"/>
    <w:rsid w:val="00BA60FB"/>
    <w:rsid w:val="00BA6F1C"/>
    <w:rsid w:val="00BA7ECB"/>
    <w:rsid w:val="00BB3242"/>
    <w:rsid w:val="00BB7B5A"/>
    <w:rsid w:val="00BC49DA"/>
    <w:rsid w:val="00BC5D84"/>
    <w:rsid w:val="00BD0E52"/>
    <w:rsid w:val="00BD2EB2"/>
    <w:rsid w:val="00BF7E22"/>
    <w:rsid w:val="00C00132"/>
    <w:rsid w:val="00C00196"/>
    <w:rsid w:val="00C07D45"/>
    <w:rsid w:val="00C140CC"/>
    <w:rsid w:val="00C174B5"/>
    <w:rsid w:val="00C21902"/>
    <w:rsid w:val="00C235FC"/>
    <w:rsid w:val="00C30863"/>
    <w:rsid w:val="00C36AD6"/>
    <w:rsid w:val="00C438F0"/>
    <w:rsid w:val="00C45B43"/>
    <w:rsid w:val="00C5397D"/>
    <w:rsid w:val="00C63C6E"/>
    <w:rsid w:val="00C666C1"/>
    <w:rsid w:val="00C66D46"/>
    <w:rsid w:val="00C74F4F"/>
    <w:rsid w:val="00C80A24"/>
    <w:rsid w:val="00C872AF"/>
    <w:rsid w:val="00C90F0E"/>
    <w:rsid w:val="00C90F96"/>
    <w:rsid w:val="00C93200"/>
    <w:rsid w:val="00CA1895"/>
    <w:rsid w:val="00CA3A02"/>
    <w:rsid w:val="00CB7A4D"/>
    <w:rsid w:val="00CC4579"/>
    <w:rsid w:val="00CC5A33"/>
    <w:rsid w:val="00CD13EC"/>
    <w:rsid w:val="00CD3834"/>
    <w:rsid w:val="00CD5A99"/>
    <w:rsid w:val="00CE0971"/>
    <w:rsid w:val="00CE38FA"/>
    <w:rsid w:val="00CF4695"/>
    <w:rsid w:val="00D026D5"/>
    <w:rsid w:val="00D030D5"/>
    <w:rsid w:val="00D06A01"/>
    <w:rsid w:val="00D1287A"/>
    <w:rsid w:val="00D14DE8"/>
    <w:rsid w:val="00D15B5C"/>
    <w:rsid w:val="00D167E8"/>
    <w:rsid w:val="00D176E7"/>
    <w:rsid w:val="00D244B8"/>
    <w:rsid w:val="00D26D51"/>
    <w:rsid w:val="00D26EDD"/>
    <w:rsid w:val="00D316CB"/>
    <w:rsid w:val="00D34A7A"/>
    <w:rsid w:val="00D37555"/>
    <w:rsid w:val="00D37D50"/>
    <w:rsid w:val="00D43BA0"/>
    <w:rsid w:val="00D47F90"/>
    <w:rsid w:val="00D53F6F"/>
    <w:rsid w:val="00D62394"/>
    <w:rsid w:val="00D632F8"/>
    <w:rsid w:val="00D64918"/>
    <w:rsid w:val="00D708C7"/>
    <w:rsid w:val="00D71793"/>
    <w:rsid w:val="00D733D1"/>
    <w:rsid w:val="00D755EF"/>
    <w:rsid w:val="00D8076D"/>
    <w:rsid w:val="00D83B53"/>
    <w:rsid w:val="00DA19B8"/>
    <w:rsid w:val="00DA620B"/>
    <w:rsid w:val="00DB0ABC"/>
    <w:rsid w:val="00DB399B"/>
    <w:rsid w:val="00DB59B2"/>
    <w:rsid w:val="00DC1C16"/>
    <w:rsid w:val="00DC1C7B"/>
    <w:rsid w:val="00DC2A98"/>
    <w:rsid w:val="00DD2F2E"/>
    <w:rsid w:val="00DD5971"/>
    <w:rsid w:val="00DD6185"/>
    <w:rsid w:val="00DD6277"/>
    <w:rsid w:val="00DD6546"/>
    <w:rsid w:val="00DE0569"/>
    <w:rsid w:val="00DE4D94"/>
    <w:rsid w:val="00DF1A0E"/>
    <w:rsid w:val="00DF7D44"/>
    <w:rsid w:val="00E069DC"/>
    <w:rsid w:val="00E11877"/>
    <w:rsid w:val="00E1326D"/>
    <w:rsid w:val="00E2123F"/>
    <w:rsid w:val="00E234DC"/>
    <w:rsid w:val="00E34545"/>
    <w:rsid w:val="00E3519E"/>
    <w:rsid w:val="00E408BA"/>
    <w:rsid w:val="00E445A2"/>
    <w:rsid w:val="00E4644E"/>
    <w:rsid w:val="00E50DB7"/>
    <w:rsid w:val="00E61CFB"/>
    <w:rsid w:val="00E67B60"/>
    <w:rsid w:val="00E70D89"/>
    <w:rsid w:val="00E7142B"/>
    <w:rsid w:val="00E7280F"/>
    <w:rsid w:val="00E75C7D"/>
    <w:rsid w:val="00E8387A"/>
    <w:rsid w:val="00E923F9"/>
    <w:rsid w:val="00E929D3"/>
    <w:rsid w:val="00E95B1A"/>
    <w:rsid w:val="00E95C54"/>
    <w:rsid w:val="00E96554"/>
    <w:rsid w:val="00EA68A9"/>
    <w:rsid w:val="00EB1225"/>
    <w:rsid w:val="00EC66C9"/>
    <w:rsid w:val="00EC7034"/>
    <w:rsid w:val="00ED2A13"/>
    <w:rsid w:val="00ED380D"/>
    <w:rsid w:val="00ED4921"/>
    <w:rsid w:val="00EE1DC8"/>
    <w:rsid w:val="00EE50C7"/>
    <w:rsid w:val="00EE7D6D"/>
    <w:rsid w:val="00EF03DD"/>
    <w:rsid w:val="00EF0538"/>
    <w:rsid w:val="00EF1B45"/>
    <w:rsid w:val="00EF3622"/>
    <w:rsid w:val="00EF3B55"/>
    <w:rsid w:val="00F015BC"/>
    <w:rsid w:val="00F048A5"/>
    <w:rsid w:val="00F06810"/>
    <w:rsid w:val="00F1302F"/>
    <w:rsid w:val="00F236B8"/>
    <w:rsid w:val="00F306BF"/>
    <w:rsid w:val="00F307EA"/>
    <w:rsid w:val="00F3227D"/>
    <w:rsid w:val="00F4141C"/>
    <w:rsid w:val="00F4454F"/>
    <w:rsid w:val="00F57290"/>
    <w:rsid w:val="00F806E8"/>
    <w:rsid w:val="00F812CC"/>
    <w:rsid w:val="00F84A45"/>
    <w:rsid w:val="00F86013"/>
    <w:rsid w:val="00F94228"/>
    <w:rsid w:val="00F94EE9"/>
    <w:rsid w:val="00F95F70"/>
    <w:rsid w:val="00F9648E"/>
    <w:rsid w:val="00FB0C5B"/>
    <w:rsid w:val="00FB2075"/>
    <w:rsid w:val="00FB2FA7"/>
    <w:rsid w:val="00FB5263"/>
    <w:rsid w:val="00FB6181"/>
    <w:rsid w:val="00FC0E93"/>
    <w:rsid w:val="00FC189B"/>
    <w:rsid w:val="00FC2359"/>
    <w:rsid w:val="00FD2F04"/>
    <w:rsid w:val="00FD4F16"/>
    <w:rsid w:val="00FE087A"/>
    <w:rsid w:val="00FE1E2B"/>
    <w:rsid w:val="00FE2349"/>
    <w:rsid w:val="00FF2603"/>
    <w:rsid w:val="00FF4DDF"/>
    <w:rsid w:val="00FF680D"/>
    <w:rsid w:val="00FF7E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41"/>
    <w:rPr>
      <w:rFonts w:ascii="Verdana" w:hAnsi="Verdan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227D"/>
    <w:rPr>
      <w:rFonts w:cs="Times New Roman"/>
      <w:color w:val="0000FF"/>
      <w:u w:val="single"/>
    </w:rPr>
  </w:style>
  <w:style w:type="paragraph" w:styleId="NormalWeb">
    <w:name w:val="Normal (Web)"/>
    <w:basedOn w:val="Normal"/>
    <w:uiPriority w:val="99"/>
    <w:rsid w:val="00F3227D"/>
    <w:pPr>
      <w:spacing w:before="100" w:beforeAutospacing="1" w:after="100" w:afterAutospacing="1"/>
    </w:pPr>
    <w:rPr>
      <w:rFonts w:ascii="Times New Roman" w:hAnsi="Times New Roman"/>
    </w:rPr>
  </w:style>
  <w:style w:type="table" w:styleId="TableGrid">
    <w:name w:val="Table Grid"/>
    <w:basedOn w:val="TableNormal"/>
    <w:uiPriority w:val="99"/>
    <w:rsid w:val="00F322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A62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delcampo@gmail.com" TargetMode="External"/><Relationship Id="rId3" Type="http://schemas.openxmlformats.org/officeDocument/2006/relationships/settings" Target="settings.xml"/><Relationship Id="rId7" Type="http://schemas.openxmlformats.org/officeDocument/2006/relationships/hyperlink" Target="mk:@MSITStore:C:\Lambda120-bis\Lambda\Help\lambda_es.chm::/calcolatricecollegataall'edit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C:\Lambda120-bis\Lambda\Help\lambda_es.chm::/FinestraCalcolatrice.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3</Pages>
  <Words>713</Words>
  <Characters>3926</Characters>
  <Application>Microsoft Office Outlook</Application>
  <DocSecurity>0</DocSecurity>
  <Lines>0</Lines>
  <Paragraphs>0</Paragraphs>
  <ScaleCrop>false</ScaleCrop>
  <Company>ETSII-UPM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de profesores y monitores</dc:title>
  <dc:subject>profesional</dc:subject>
  <dc:creator>José Enrique Fernández del Campo</dc:creator>
  <cp:keywords/>
  <dc:description/>
  <cp:lastModifiedBy>J_E</cp:lastModifiedBy>
  <cp:revision>16</cp:revision>
  <dcterms:created xsi:type="dcterms:W3CDTF">2015-11-02T17:02:00Z</dcterms:created>
  <dcterms:modified xsi:type="dcterms:W3CDTF">2016-08-12T09:47:00Z</dcterms:modified>
</cp:coreProperties>
</file>